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4AEC" w14:textId="77777777" w:rsidR="00D85F19" w:rsidRPr="00A934B3" w:rsidRDefault="00D85F19" w:rsidP="00A934B3">
      <w:pPr>
        <w:jc w:val="center"/>
        <w:rPr>
          <w:rFonts w:ascii="Book Antiqua" w:hAnsi="Book Antiqua"/>
          <w:bCs/>
          <w:sz w:val="28"/>
          <w:szCs w:val="28"/>
          <w:lang w:val="es-PR"/>
        </w:rPr>
      </w:pPr>
      <w:r w:rsidRPr="00A934B3">
        <w:rPr>
          <w:rFonts w:ascii="Book Antiqua" w:hAnsi="Book Antiqua"/>
          <w:bCs/>
          <w:sz w:val="28"/>
          <w:szCs w:val="28"/>
          <w:lang w:val="es-PR"/>
        </w:rPr>
        <w:t>GOBIERNO DE PUERTO RICO</w:t>
      </w:r>
    </w:p>
    <w:p w14:paraId="5CC804D1" w14:textId="77777777" w:rsidR="00D85F19" w:rsidRDefault="00D85F19" w:rsidP="00A934B3">
      <w:pPr>
        <w:jc w:val="center"/>
        <w:rPr>
          <w:rFonts w:ascii="Book Antiqua" w:hAnsi="Book Antiqua"/>
          <w:lang w:val="es-PR"/>
        </w:rPr>
      </w:pPr>
    </w:p>
    <w:p w14:paraId="006DB1E7" w14:textId="3BF4D672" w:rsidR="00D85F19" w:rsidRDefault="00D85F19" w:rsidP="00A934B3">
      <w:pPr>
        <w:pStyle w:val="Title2"/>
        <w:rPr>
          <w:rFonts w:ascii="Book Antiqua" w:hAnsi="Book Antiqua"/>
          <w:lang w:val="es-PR"/>
        </w:rPr>
      </w:pPr>
      <w:r>
        <w:rPr>
          <w:rFonts w:ascii="Book Antiqua" w:hAnsi="Book Antiqua"/>
          <w:lang w:val="es-PR"/>
        </w:rPr>
        <w:t xml:space="preserve">20 </w:t>
      </w:r>
      <w:r>
        <w:rPr>
          <w:rFonts w:ascii="Book Antiqua" w:hAnsi="Book Antiqua"/>
          <w:vertAlign w:val="superscript"/>
          <w:lang w:val="es-PR"/>
        </w:rPr>
        <w:t>ma.</w:t>
      </w:r>
      <w:r>
        <w:rPr>
          <w:rFonts w:ascii="Book Antiqua" w:hAnsi="Book Antiqua"/>
          <w:lang w:val="es-PR"/>
        </w:rPr>
        <w:tab/>
        <w:t>Asamblea</w:t>
      </w:r>
      <w:r>
        <w:rPr>
          <w:rFonts w:ascii="Book Antiqua" w:hAnsi="Book Antiqua"/>
          <w:lang w:val="es-PR"/>
        </w:rPr>
        <w:tab/>
      </w:r>
      <w:r w:rsidR="00C723E5">
        <w:rPr>
          <w:rFonts w:ascii="Book Antiqua" w:hAnsi="Book Antiqua"/>
          <w:lang w:val="es-PR"/>
        </w:rPr>
        <w:t>3</w:t>
      </w:r>
      <w:r w:rsidR="00C723E5">
        <w:rPr>
          <w:rFonts w:ascii="Book Antiqua" w:hAnsi="Book Antiqua"/>
          <w:vertAlign w:val="superscript"/>
          <w:lang w:val="es-PR"/>
        </w:rPr>
        <w:t>r</w:t>
      </w:r>
      <w:r>
        <w:rPr>
          <w:rFonts w:ascii="Book Antiqua" w:hAnsi="Book Antiqua"/>
          <w:vertAlign w:val="superscript"/>
          <w:lang w:val="es-PR"/>
        </w:rPr>
        <w:t>a.</w:t>
      </w:r>
      <w:r>
        <w:rPr>
          <w:rFonts w:ascii="Book Antiqua" w:hAnsi="Book Antiqua"/>
          <w:vertAlign w:val="superscript"/>
          <w:lang w:val="es-PR"/>
        </w:rPr>
        <w:tab/>
      </w:r>
      <w:r>
        <w:rPr>
          <w:rFonts w:ascii="Book Antiqua" w:hAnsi="Book Antiqua"/>
          <w:lang w:val="es-PR"/>
        </w:rPr>
        <w:t>Sesión</w:t>
      </w:r>
    </w:p>
    <w:p w14:paraId="0B4E9495" w14:textId="010FCF86" w:rsidR="00D85F19" w:rsidRDefault="00D85F19" w:rsidP="00A934B3">
      <w:pPr>
        <w:pStyle w:val="Title2"/>
        <w:rPr>
          <w:rFonts w:ascii="Book Antiqua" w:hAnsi="Book Antiqua"/>
          <w:lang w:val="es-PR"/>
        </w:rPr>
      </w:pPr>
      <w:r>
        <w:rPr>
          <w:rFonts w:ascii="Book Antiqua" w:hAnsi="Book Antiqua"/>
          <w:lang w:val="es-PR"/>
        </w:rPr>
        <w:tab/>
        <w:t>Legislativa</w:t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  <w:t>Ordinaria</w:t>
      </w:r>
    </w:p>
    <w:p w14:paraId="60A6CB4E" w14:textId="77777777" w:rsidR="00D85F19" w:rsidRDefault="00D85F19" w:rsidP="00A934B3">
      <w:pPr>
        <w:rPr>
          <w:rFonts w:ascii="Book Antiqua" w:hAnsi="Book Antiqua"/>
          <w:lang w:val="es-PR"/>
        </w:rPr>
      </w:pPr>
    </w:p>
    <w:p w14:paraId="6FAEE594" w14:textId="77777777" w:rsidR="00877243" w:rsidRPr="003A208B" w:rsidRDefault="00877243" w:rsidP="00A934B3">
      <w:pPr>
        <w:jc w:val="center"/>
        <w:rPr>
          <w:rFonts w:ascii="Book Antiqua" w:hAnsi="Book Antiqua"/>
          <w:b/>
          <w:color w:val="000000" w:themeColor="text1"/>
          <w:sz w:val="36"/>
          <w:lang w:val="es-PR"/>
        </w:rPr>
      </w:pPr>
      <w:r w:rsidRPr="003A208B">
        <w:rPr>
          <w:rFonts w:ascii="Book Antiqua" w:hAnsi="Book Antiqua"/>
          <w:b/>
          <w:color w:val="000000" w:themeColor="text1"/>
          <w:sz w:val="36"/>
          <w:lang w:val="es-PR"/>
        </w:rPr>
        <w:t>CÁMARA DE REPRESENTANTES</w:t>
      </w:r>
    </w:p>
    <w:p w14:paraId="15606D20" w14:textId="77777777" w:rsidR="00D85F19" w:rsidRPr="00877243" w:rsidRDefault="00D85F19" w:rsidP="00A934B3">
      <w:pPr>
        <w:jc w:val="center"/>
        <w:rPr>
          <w:rFonts w:ascii="Book Antiqua" w:hAnsi="Book Antiqua"/>
          <w:b/>
          <w:szCs w:val="24"/>
          <w:lang w:val="es-PR"/>
        </w:rPr>
      </w:pPr>
    </w:p>
    <w:p w14:paraId="2F471B19" w14:textId="1DC61B24" w:rsidR="00D85F19" w:rsidRDefault="00D85F19" w:rsidP="00A934B3">
      <w:pPr>
        <w:jc w:val="center"/>
        <w:rPr>
          <w:rFonts w:ascii="Book Antiqua" w:hAnsi="Book Antiqua"/>
          <w:b/>
          <w:sz w:val="52"/>
          <w:lang w:val="es-PR"/>
        </w:rPr>
      </w:pPr>
      <w:r>
        <w:rPr>
          <w:rFonts w:ascii="Book Antiqua" w:hAnsi="Book Antiqua"/>
          <w:b/>
          <w:sz w:val="52"/>
          <w:lang w:val="es-PR"/>
        </w:rPr>
        <w:t xml:space="preserve">P. </w:t>
      </w:r>
      <w:r w:rsidRPr="00DF4C50">
        <w:rPr>
          <w:rFonts w:ascii="Book Antiqua" w:hAnsi="Book Antiqua"/>
          <w:b/>
          <w:sz w:val="52"/>
          <w:lang w:val="es-ES"/>
        </w:rPr>
        <w:t>d</w:t>
      </w:r>
      <w:r>
        <w:rPr>
          <w:rFonts w:ascii="Book Antiqua" w:hAnsi="Book Antiqua"/>
          <w:b/>
          <w:sz w:val="52"/>
          <w:lang w:val="es-PR"/>
        </w:rPr>
        <w:t>e</w:t>
      </w:r>
      <w:r w:rsidR="00FE5552">
        <w:rPr>
          <w:rFonts w:ascii="Book Antiqua" w:hAnsi="Book Antiqua"/>
          <w:b/>
          <w:sz w:val="52"/>
          <w:lang w:val="es-ES"/>
        </w:rPr>
        <w:t xml:space="preserve"> la C</w:t>
      </w:r>
      <w:r>
        <w:rPr>
          <w:rFonts w:ascii="Book Antiqua" w:hAnsi="Book Antiqua"/>
          <w:b/>
          <w:sz w:val="52"/>
          <w:lang w:val="es-PR"/>
        </w:rPr>
        <w:t xml:space="preserve">. </w:t>
      </w:r>
      <w:r w:rsidR="00AB72EC">
        <w:rPr>
          <w:rFonts w:ascii="Book Antiqua" w:hAnsi="Book Antiqua"/>
          <w:b/>
          <w:sz w:val="52"/>
          <w:lang w:val="es-PR"/>
        </w:rPr>
        <w:t>1025</w:t>
      </w:r>
    </w:p>
    <w:p w14:paraId="55E769F1" w14:textId="77777777" w:rsidR="00D85F19" w:rsidRPr="00BC63DB" w:rsidRDefault="00D85F19" w:rsidP="00A934B3">
      <w:pPr>
        <w:jc w:val="center"/>
        <w:rPr>
          <w:rFonts w:ascii="Book Antiqua" w:hAnsi="Book Antiqua"/>
          <w:b/>
          <w:szCs w:val="24"/>
          <w:lang w:val="es-PR"/>
        </w:rPr>
      </w:pPr>
    </w:p>
    <w:p w14:paraId="29D836EB" w14:textId="12155FE0" w:rsidR="00D85F19" w:rsidRDefault="00AB72EC" w:rsidP="00A934B3">
      <w:pPr>
        <w:jc w:val="center"/>
        <w:rPr>
          <w:rFonts w:ascii="Book Antiqua" w:hAnsi="Book Antiqua"/>
          <w:lang w:val="es-PR"/>
        </w:rPr>
      </w:pPr>
      <w:r>
        <w:rPr>
          <w:rFonts w:ascii="Book Antiqua" w:hAnsi="Book Antiqua"/>
          <w:lang w:val="es-PR"/>
        </w:rPr>
        <w:t xml:space="preserve">12 </w:t>
      </w:r>
      <w:r w:rsidR="00B32881">
        <w:rPr>
          <w:rFonts w:ascii="Book Antiqua" w:hAnsi="Book Antiqua"/>
          <w:lang w:val="es-PR"/>
        </w:rPr>
        <w:t xml:space="preserve">DE </w:t>
      </w:r>
      <w:r w:rsidR="00C723E5">
        <w:rPr>
          <w:rFonts w:ascii="Book Antiqua" w:hAnsi="Book Antiqua"/>
          <w:lang w:val="es-PR"/>
        </w:rPr>
        <w:t>ENERO DE</w:t>
      </w:r>
      <w:r w:rsidR="00D85F19">
        <w:rPr>
          <w:rFonts w:ascii="Book Antiqua" w:hAnsi="Book Antiqua"/>
          <w:lang w:val="es-PR"/>
        </w:rPr>
        <w:t xml:space="preserve"> 202</w:t>
      </w:r>
      <w:r w:rsidR="00AB4C44">
        <w:rPr>
          <w:rFonts w:ascii="Book Antiqua" w:hAnsi="Book Antiqua"/>
          <w:lang w:val="es-PR"/>
        </w:rPr>
        <w:t>6</w:t>
      </w:r>
    </w:p>
    <w:p w14:paraId="66BF8C37" w14:textId="77777777" w:rsidR="00D85F19" w:rsidRDefault="00D85F19" w:rsidP="00A934B3">
      <w:pPr>
        <w:ind w:left="270"/>
        <w:jc w:val="center"/>
        <w:rPr>
          <w:rFonts w:ascii="Book Antiqua" w:hAnsi="Book Antiqua"/>
          <w:lang w:val="es-PR"/>
        </w:rPr>
      </w:pPr>
    </w:p>
    <w:p w14:paraId="588EC5C2" w14:textId="57FE0B46" w:rsidR="00FE5552" w:rsidRDefault="00A934B3" w:rsidP="00A934B3">
      <w:pPr>
        <w:ind w:left="810" w:hanging="810"/>
        <w:jc w:val="both"/>
        <w:rPr>
          <w:rFonts w:ascii="Book Antiqua" w:eastAsia="Aptos" w:hAnsi="Book Antiqua"/>
          <w:i/>
          <w:iCs/>
          <w:kern w:val="2"/>
          <w:szCs w:val="24"/>
          <w:lang w:val="es-ES"/>
          <w14:ligatures w14:val="standardContextual"/>
        </w:rPr>
      </w:pPr>
      <w:r w:rsidRPr="00930E48">
        <w:rPr>
          <w:rFonts w:ascii="Book Antiqua" w:hAnsi="Book Antiqua"/>
          <w:color w:val="000000" w:themeColor="text1"/>
          <w:lang w:val="es-PR"/>
        </w:rPr>
        <w:t xml:space="preserve">Presentado </w:t>
      </w:r>
      <w:r>
        <w:rPr>
          <w:rFonts w:ascii="Book Antiqua" w:eastAsia="Book Antiqua" w:hAnsi="Book Antiqua" w:cs="Book Antiqua"/>
          <w:color w:val="000000" w:themeColor="text1"/>
          <w:lang w:val="es-PR"/>
        </w:rPr>
        <w:t xml:space="preserve">por el 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representante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Méndez Núñez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; la representante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Lebrón Rodríguez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; los representantes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Peña Ramírez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Torres Zamora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Román López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Aponte Hernández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Carlo Acosta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Charbonier Chinea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Colón Rodríguez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; la representante del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Valle Correa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; los representantes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Estévez Vélez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Franqui Atiles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; las representantes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González Aguayo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 xml:space="preserve">González </w:t>
      </w:r>
      <w:proofErr w:type="spellStart"/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González</w:t>
      </w:r>
      <w:proofErr w:type="spellEnd"/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; los representantes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Hernández Concepción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Jiménez Torres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López Román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; las representantes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Martínez Vázquez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Medina Calderón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; los representantes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Morey Noble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Muriel Sánchez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Navarro Suárez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Nieves Rosario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Ocasio Ramos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Pacheco Burgos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Parés Otero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Pérez Cordero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Pérez Ortiz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; las representantes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Pérez Ramírez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Ramos Rivera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; los representantes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Robles Rivera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Rodríguez Aguiló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Rodríguez Torres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Roque Gracia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,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Sanabria Colón</w:t>
      </w:r>
      <w:r w:rsidRPr="00110E02">
        <w:rPr>
          <w:rFonts w:ascii="Book Antiqua" w:eastAsia="Book Antiqua" w:hAnsi="Book Antiqua" w:cs="Book Antiqua"/>
          <w:color w:val="000000" w:themeColor="text1"/>
          <w:lang w:val="es-ES"/>
        </w:rPr>
        <w:t xml:space="preserve"> y </w:t>
      </w:r>
      <w:r w:rsidRPr="00110E02">
        <w:rPr>
          <w:rFonts w:ascii="Book Antiqua" w:eastAsia="Book Antiqua" w:hAnsi="Book Antiqua" w:cs="Book Antiqua"/>
          <w:i/>
          <w:iCs/>
          <w:color w:val="000000" w:themeColor="text1"/>
          <w:lang w:val="es-ES"/>
        </w:rPr>
        <w:t>Santiago Guzmán</w:t>
      </w:r>
    </w:p>
    <w:p w14:paraId="2386D156" w14:textId="77777777" w:rsidR="00D85F19" w:rsidRPr="00FE5552" w:rsidRDefault="00D85F19" w:rsidP="00A934B3">
      <w:pPr>
        <w:ind w:left="720" w:hanging="630"/>
        <w:jc w:val="both"/>
        <w:rPr>
          <w:rFonts w:ascii="Book Antiqua" w:hAnsi="Book Antiqua"/>
          <w:i/>
          <w:iCs/>
          <w:lang w:val="es-ES"/>
        </w:rPr>
      </w:pPr>
    </w:p>
    <w:p w14:paraId="061988F7" w14:textId="6A532F76" w:rsidR="00D85F19" w:rsidRPr="00915D57" w:rsidRDefault="00D85F19" w:rsidP="00A934B3">
      <w:pPr>
        <w:jc w:val="center"/>
        <w:rPr>
          <w:rFonts w:ascii="Book Antiqua" w:hAnsi="Book Antiqua"/>
          <w:iCs/>
          <w:szCs w:val="24"/>
          <w:lang w:val="es-419"/>
        </w:rPr>
      </w:pPr>
      <w:r w:rsidRPr="00915D57">
        <w:rPr>
          <w:rFonts w:ascii="Book Antiqua" w:hAnsi="Book Antiqua"/>
          <w:iCs/>
          <w:lang w:val="es-PR"/>
        </w:rPr>
        <w:t>Referido</w:t>
      </w:r>
      <w:r>
        <w:rPr>
          <w:rFonts w:ascii="Book Antiqua" w:hAnsi="Book Antiqua"/>
          <w:iCs/>
          <w:lang w:val="es-PR"/>
        </w:rPr>
        <w:t xml:space="preserve"> a</w:t>
      </w:r>
      <w:r w:rsidRPr="00915D57">
        <w:rPr>
          <w:rFonts w:ascii="Book Antiqua" w:hAnsi="Book Antiqua"/>
          <w:iCs/>
          <w:lang w:val="es-PR"/>
        </w:rPr>
        <w:t xml:space="preserve"> </w:t>
      </w:r>
      <w:r w:rsidR="00246636">
        <w:rPr>
          <w:rFonts w:ascii="Book Antiqua" w:hAnsi="Book Antiqua"/>
          <w:iCs/>
          <w:lang w:val="es-PR"/>
        </w:rPr>
        <w:t>la Comisión de lo Jurídico</w:t>
      </w:r>
    </w:p>
    <w:p w14:paraId="1CA83277" w14:textId="77777777" w:rsidR="00D85F19" w:rsidRPr="00BC63DB" w:rsidRDefault="00D85F19" w:rsidP="00A934B3">
      <w:pPr>
        <w:jc w:val="center"/>
        <w:rPr>
          <w:rFonts w:ascii="Book Antiqua" w:hAnsi="Book Antiqua"/>
          <w:iCs/>
          <w:szCs w:val="24"/>
          <w:lang w:val="es-PR"/>
        </w:rPr>
      </w:pPr>
    </w:p>
    <w:p w14:paraId="7BA4C4B0" w14:textId="77777777" w:rsidR="00D85F19" w:rsidRPr="00143C3B" w:rsidRDefault="00D85F19" w:rsidP="00A934B3">
      <w:pPr>
        <w:jc w:val="center"/>
        <w:rPr>
          <w:rFonts w:ascii="Book Antiqua" w:hAnsi="Book Antiqua"/>
          <w:b/>
          <w:szCs w:val="24"/>
          <w:lang w:val="es-PR"/>
        </w:rPr>
      </w:pPr>
      <w:r w:rsidRPr="00A934B3">
        <w:rPr>
          <w:rFonts w:ascii="Book Antiqua" w:hAnsi="Book Antiqua"/>
          <w:b/>
          <w:sz w:val="28"/>
          <w:szCs w:val="28"/>
          <w:lang w:val="es-PR"/>
        </w:rPr>
        <w:t>LEY</w:t>
      </w:r>
    </w:p>
    <w:p w14:paraId="7B1A7C62" w14:textId="77777777" w:rsidR="00D85F19" w:rsidRPr="00A934B3" w:rsidRDefault="00D85F19" w:rsidP="00A934B3">
      <w:pPr>
        <w:jc w:val="both"/>
        <w:rPr>
          <w:rFonts w:ascii="Book Antiqua" w:hAnsi="Book Antiqua"/>
          <w:szCs w:val="24"/>
          <w:lang w:val="es-PR"/>
        </w:rPr>
      </w:pPr>
    </w:p>
    <w:p w14:paraId="2E240D90" w14:textId="77777777" w:rsidR="00625B16" w:rsidRPr="00434FB9" w:rsidRDefault="00D85F19" w:rsidP="00A934B3">
      <w:pPr>
        <w:ind w:left="540" w:hanging="540"/>
        <w:jc w:val="both"/>
        <w:rPr>
          <w:rFonts w:ascii="Book Antiqua" w:eastAsia="Book Antiqua" w:hAnsi="Book Antiqua" w:cs="Book Antiqua"/>
          <w:color w:val="000000" w:themeColor="text1"/>
          <w:lang w:val="es-PR"/>
        </w:rPr>
      </w:pPr>
      <w:r w:rsidRPr="00B604F2">
        <w:rPr>
          <w:rFonts w:ascii="Book Antiqua" w:eastAsia="Book Antiqua" w:hAnsi="Book Antiqua" w:cs="Book Antiqua"/>
          <w:color w:val="000000"/>
          <w:szCs w:val="24"/>
          <w:lang w:val="es-PR"/>
        </w:rPr>
        <w:t xml:space="preserve">Para </w:t>
      </w:r>
      <w:r w:rsidR="00625B16">
        <w:rPr>
          <w:rFonts w:ascii="Book Antiqua" w:eastAsia="Book Antiqua" w:hAnsi="Book Antiqua" w:cs="Book Antiqua"/>
          <w:color w:val="000000" w:themeColor="text1"/>
          <w:lang w:val="es-PR"/>
        </w:rPr>
        <w:t>enmendar el Artículo 92 de la Ley 146-2012, según enmendada, conocida como “Código Penal de Puerto Rico”, a los fines de establecer que para propósito de lo dispuesto en los incisos (g) y (h) del Artículo 93 de dicha ley, se considerará ser humano al concebido en cualquier etapa de gestación dentro del útero materno</w:t>
      </w:r>
      <w:r w:rsidR="00625B16" w:rsidRPr="00434FB9">
        <w:rPr>
          <w:rFonts w:ascii="Book Antiqua" w:eastAsia="Book Antiqua" w:hAnsi="Book Antiqua" w:cs="Book Antiqua"/>
          <w:color w:val="000000" w:themeColor="text1"/>
          <w:lang w:val="es-PR"/>
        </w:rPr>
        <w:t>; y para otros fines relacionados.</w:t>
      </w:r>
    </w:p>
    <w:p w14:paraId="4AC2119D" w14:textId="3829268E" w:rsidR="00D85F19" w:rsidRDefault="00D85F19" w:rsidP="00A934B3">
      <w:pPr>
        <w:ind w:left="540" w:hanging="540"/>
        <w:jc w:val="both"/>
        <w:rPr>
          <w:rFonts w:ascii="Book Antiqua" w:hAnsi="Book Antiqua"/>
          <w:lang w:val="es-PR"/>
        </w:rPr>
      </w:pPr>
    </w:p>
    <w:p w14:paraId="122AA3AE" w14:textId="77777777" w:rsidR="00D85F19" w:rsidRPr="00A934B3" w:rsidRDefault="00D85F19" w:rsidP="00A934B3">
      <w:pPr>
        <w:jc w:val="center"/>
        <w:rPr>
          <w:rFonts w:ascii="Book Antiqua" w:hAnsi="Book Antiqua"/>
          <w:bCs/>
          <w:szCs w:val="24"/>
          <w:lang w:val="es-PR"/>
        </w:rPr>
      </w:pPr>
      <w:r w:rsidRPr="00A934B3">
        <w:rPr>
          <w:rFonts w:ascii="Book Antiqua" w:hAnsi="Book Antiqua"/>
          <w:bCs/>
          <w:szCs w:val="24"/>
          <w:lang w:val="es-PR"/>
        </w:rPr>
        <w:t>EXPOSICIÓN DE MOTIVOS</w:t>
      </w:r>
    </w:p>
    <w:p w14:paraId="08D6166B" w14:textId="77777777" w:rsidR="00D85F19" w:rsidRPr="00A934B3" w:rsidRDefault="00D85F19" w:rsidP="00A934B3">
      <w:pPr>
        <w:jc w:val="center"/>
        <w:rPr>
          <w:rFonts w:ascii="Book Antiqua" w:hAnsi="Book Antiqua"/>
          <w:b/>
          <w:szCs w:val="24"/>
          <w:lang w:val="es-ES"/>
        </w:rPr>
      </w:pPr>
    </w:p>
    <w:p w14:paraId="261D9FAE" w14:textId="532FF211" w:rsidR="00AE4F70" w:rsidRDefault="00A934B3" w:rsidP="00A934B3">
      <w:pPr>
        <w:jc w:val="both"/>
        <w:textAlignment w:val="baseline"/>
        <w:rPr>
          <w:rFonts w:ascii="Book Antiqua" w:hAnsi="Book Antiqua" w:cs="Segoe UI"/>
          <w:lang w:val="es-PR"/>
        </w:rPr>
      </w:pPr>
      <w:r>
        <w:rPr>
          <w:rFonts w:ascii="Book Antiqua" w:hAnsi="Book Antiqua" w:cs="Segoe UI"/>
          <w:lang w:val="es-PR"/>
        </w:rPr>
        <w:tab/>
      </w:r>
      <w:r w:rsidR="00AE4F70">
        <w:rPr>
          <w:rFonts w:ascii="Book Antiqua" w:hAnsi="Book Antiqua" w:cs="Segoe UI"/>
          <w:lang w:val="es-PR"/>
        </w:rPr>
        <w:t xml:space="preserve">La Ley 166-2025, conocida como la Ley Keyshla </w:t>
      </w:r>
      <w:proofErr w:type="spellStart"/>
      <w:r w:rsidR="00AE4F70">
        <w:rPr>
          <w:rFonts w:ascii="Book Antiqua" w:hAnsi="Book Antiqua" w:cs="Segoe UI"/>
          <w:lang w:val="es-PR"/>
        </w:rPr>
        <w:t>Madlane</w:t>
      </w:r>
      <w:proofErr w:type="spellEnd"/>
      <w:r w:rsidR="00AE4F70">
        <w:rPr>
          <w:rFonts w:ascii="Book Antiqua" w:hAnsi="Book Antiqua" w:cs="Segoe UI"/>
          <w:lang w:val="es-PR"/>
        </w:rPr>
        <w:t xml:space="preserve">, entre otras disposiciones, tipifica como asesinato en primer grado cuando se da muerte a propósito y con conocimiento a una mujer embarazada, resultando, además, en la muerte del concebido en cualquier etapa de gestación dentro del útero materno. </w:t>
      </w:r>
    </w:p>
    <w:p w14:paraId="5983AC27" w14:textId="77777777" w:rsidR="00AE4F70" w:rsidRDefault="00AE4F70" w:rsidP="00A934B3">
      <w:pPr>
        <w:jc w:val="both"/>
        <w:textAlignment w:val="baseline"/>
        <w:rPr>
          <w:rFonts w:ascii="Book Antiqua" w:hAnsi="Book Antiqua" w:cs="Segoe UI"/>
          <w:lang w:val="es-PR"/>
        </w:rPr>
      </w:pPr>
    </w:p>
    <w:p w14:paraId="2B703B1F" w14:textId="7166666A" w:rsidR="00AE4F70" w:rsidRDefault="00A934B3" w:rsidP="00A934B3">
      <w:pPr>
        <w:jc w:val="both"/>
        <w:textAlignment w:val="baseline"/>
        <w:rPr>
          <w:rFonts w:ascii="Book Antiqua" w:hAnsi="Book Antiqua" w:cs="Segoe UI"/>
          <w:lang w:val="es-PR"/>
        </w:rPr>
      </w:pPr>
      <w:r>
        <w:rPr>
          <w:rFonts w:ascii="Book Antiqua" w:hAnsi="Book Antiqua" w:cs="Segoe UI"/>
          <w:lang w:val="es-PR"/>
        </w:rPr>
        <w:lastRenderedPageBreak/>
        <w:tab/>
      </w:r>
      <w:r w:rsidR="00AE4F70">
        <w:rPr>
          <w:rFonts w:ascii="Book Antiqua" w:hAnsi="Book Antiqua" w:cs="Segoe UI"/>
          <w:lang w:val="es-PR"/>
        </w:rPr>
        <w:t>Por su parte, la Ley 183-2025, entre otras cosas, enmendó el Artículo 67 Código Civil para reconocer al concebido en cualquier etapa de gestación dentro del útero materno como ser humano y persona natural.</w:t>
      </w:r>
    </w:p>
    <w:p w14:paraId="3400B663" w14:textId="77777777" w:rsidR="00A934B3" w:rsidRDefault="00A934B3" w:rsidP="00A934B3">
      <w:pPr>
        <w:jc w:val="both"/>
        <w:textAlignment w:val="baseline"/>
        <w:rPr>
          <w:rFonts w:ascii="Book Antiqua" w:hAnsi="Book Antiqua" w:cs="Segoe UI"/>
          <w:lang w:val="es-PR"/>
        </w:rPr>
      </w:pPr>
    </w:p>
    <w:p w14:paraId="02808950" w14:textId="08836685" w:rsidR="00AE4F70" w:rsidRDefault="00A934B3" w:rsidP="00A934B3">
      <w:pPr>
        <w:jc w:val="both"/>
        <w:textAlignment w:val="baseline"/>
        <w:rPr>
          <w:rFonts w:ascii="Book Antiqua" w:hAnsi="Book Antiqua" w:cs="Segoe UI"/>
          <w:lang w:val="es-PR"/>
        </w:rPr>
      </w:pPr>
      <w:r>
        <w:rPr>
          <w:rFonts w:ascii="Book Antiqua" w:hAnsi="Book Antiqua" w:cs="Segoe UI"/>
          <w:lang w:val="es-PR"/>
        </w:rPr>
        <w:tab/>
      </w:r>
      <w:r w:rsidR="00AE4F70">
        <w:rPr>
          <w:rFonts w:ascii="Book Antiqua" w:hAnsi="Book Antiqua" w:cs="Segoe UI"/>
          <w:lang w:val="es-PR"/>
        </w:rPr>
        <w:t>En ánimos de mantener coherencia entre las disposiciones civiles y penales, es necesario hacer constar y definir en el Código Penal vigente que el asesinato contra un ser humano incluye al concebido en cualquier etapa de gestación dentro del útero materno.</w:t>
      </w:r>
    </w:p>
    <w:p w14:paraId="5E582465" w14:textId="77777777" w:rsidR="00AE4F70" w:rsidRDefault="00AE4F70" w:rsidP="00A934B3">
      <w:pPr>
        <w:jc w:val="both"/>
        <w:rPr>
          <w:rFonts w:ascii="Book Antiqua" w:hAnsi="Book Antiqua"/>
          <w:bCs/>
          <w:i/>
          <w:iCs/>
          <w:szCs w:val="24"/>
          <w:lang w:val="es-PR"/>
        </w:rPr>
      </w:pPr>
    </w:p>
    <w:p w14:paraId="23375012" w14:textId="177E2B84" w:rsidR="00D85F19" w:rsidRPr="00915D57" w:rsidRDefault="00D85F19" w:rsidP="00A934B3">
      <w:pPr>
        <w:spacing w:line="480" w:lineRule="auto"/>
        <w:jc w:val="both"/>
        <w:rPr>
          <w:rFonts w:ascii="Book Antiqua" w:hAnsi="Book Antiqua"/>
          <w:bCs/>
          <w:i/>
          <w:iCs/>
          <w:szCs w:val="24"/>
          <w:lang w:val="es-PR"/>
        </w:rPr>
      </w:pPr>
      <w:r w:rsidRPr="00915D57">
        <w:rPr>
          <w:rFonts w:ascii="Book Antiqua" w:hAnsi="Book Antiqua"/>
          <w:bCs/>
          <w:i/>
          <w:iCs/>
          <w:szCs w:val="24"/>
          <w:lang w:val="es-PR"/>
        </w:rPr>
        <w:t>DECRÉTASE POR LA ASAMBLEA LEGISLATIVA DE PUERTO RICO:</w:t>
      </w:r>
    </w:p>
    <w:p w14:paraId="1C078168" w14:textId="77777777" w:rsidR="00D85F19" w:rsidRDefault="00D85F19" w:rsidP="00D85F19">
      <w:pPr>
        <w:spacing w:line="480" w:lineRule="auto"/>
        <w:jc w:val="both"/>
        <w:rPr>
          <w:rFonts w:ascii="Book Antiqua" w:hAnsi="Book Antiqua"/>
          <w:szCs w:val="24"/>
          <w:lang w:val="es-PR"/>
        </w:rPr>
        <w:sectPr w:rsidR="00D85F19" w:rsidSect="00D85F19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039590C7" w14:textId="77777777" w:rsidR="009E13C4" w:rsidRDefault="009E13C4" w:rsidP="009E13C4">
      <w:pPr>
        <w:spacing w:before="240" w:after="120" w:line="480" w:lineRule="auto"/>
        <w:ind w:firstLine="708"/>
        <w:contextualSpacing/>
        <w:jc w:val="both"/>
        <w:rPr>
          <w:rFonts w:ascii="Book Antiqua" w:eastAsia="Book Antiqua" w:hAnsi="Book Antiqua" w:cs="Book Antiqua"/>
          <w:color w:val="000000" w:themeColor="text1"/>
          <w:lang w:val="es-PR"/>
        </w:rPr>
      </w:pPr>
      <w:r w:rsidRPr="00065FE8">
        <w:rPr>
          <w:rFonts w:ascii="Book Antiqua" w:hAnsi="Book Antiqua"/>
          <w:lang w:val="es-ES"/>
        </w:rPr>
        <w:t>Sección 1</w:t>
      </w:r>
      <w:r>
        <w:rPr>
          <w:rFonts w:ascii="Book Antiqua" w:hAnsi="Book Antiqua"/>
          <w:lang w:val="es-ES"/>
        </w:rPr>
        <w:t xml:space="preserve">. – Se enmienda el Artículo 92 </w:t>
      </w:r>
      <w:r>
        <w:rPr>
          <w:rFonts w:ascii="Book Antiqua" w:eastAsia="Book Antiqua" w:hAnsi="Book Antiqua" w:cs="Book Antiqua"/>
          <w:color w:val="000000" w:themeColor="text1"/>
          <w:lang w:val="es-PR"/>
        </w:rPr>
        <w:t>de la Ley 146-2012, según enmendada, para que se lea como sigue:</w:t>
      </w:r>
    </w:p>
    <w:p w14:paraId="1BDFDD6A" w14:textId="77777777" w:rsidR="009E13C4" w:rsidRDefault="009E13C4" w:rsidP="009E13C4">
      <w:pPr>
        <w:spacing w:before="240" w:after="120" w:line="480" w:lineRule="auto"/>
        <w:ind w:firstLine="708"/>
        <w:contextualSpacing/>
        <w:jc w:val="both"/>
        <w:rPr>
          <w:rFonts w:ascii="Book Antiqua" w:hAnsi="Book Antiqua"/>
          <w:lang w:val="es-ES"/>
        </w:rPr>
      </w:pPr>
      <w:r>
        <w:rPr>
          <w:rFonts w:ascii="Book Antiqua" w:eastAsia="Book Antiqua" w:hAnsi="Book Antiqua" w:cs="Book Antiqua"/>
          <w:color w:val="000000" w:themeColor="text1"/>
          <w:lang w:val="es-PR"/>
        </w:rPr>
        <w:t>“</w:t>
      </w:r>
      <w:r w:rsidRPr="009E13C4">
        <w:rPr>
          <w:rFonts w:ascii="Book Antiqua" w:eastAsia="Book Antiqua" w:hAnsi="Book Antiqua" w:cs="Book Antiqua"/>
          <w:color w:val="000000" w:themeColor="text1"/>
          <w:lang w:val="es-PR"/>
        </w:rPr>
        <w:t>Artículo 92. — Asesinato.</w:t>
      </w:r>
    </w:p>
    <w:p w14:paraId="763DEB0B" w14:textId="77777777" w:rsidR="009E13C4" w:rsidRDefault="009E13C4" w:rsidP="009E13C4">
      <w:pPr>
        <w:spacing w:before="240" w:after="120" w:line="480" w:lineRule="auto"/>
        <w:ind w:firstLine="708"/>
        <w:contextualSpacing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Asesinato es dar muere a un ser humano a propósito, con conocimiento o temerariamente.</w:t>
      </w:r>
    </w:p>
    <w:p w14:paraId="406F0666" w14:textId="77777777" w:rsidR="009E13C4" w:rsidRDefault="009E13C4" w:rsidP="009E13C4">
      <w:pPr>
        <w:spacing w:before="240" w:after="120" w:line="480" w:lineRule="auto"/>
        <w:ind w:firstLine="708"/>
        <w:contextualSpacing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i/>
          <w:iCs/>
          <w:lang w:val="es-ES"/>
        </w:rPr>
        <w:t>Para propósito de este capítulo ser humano incluirá al concebido en cualquier etapa de gestación dentro del útero materno.”</w:t>
      </w:r>
    </w:p>
    <w:p w14:paraId="7E554534" w14:textId="77777777" w:rsidR="009E13C4" w:rsidRDefault="009E13C4" w:rsidP="009E13C4">
      <w:pPr>
        <w:spacing w:before="240" w:after="120" w:line="480" w:lineRule="auto"/>
        <w:ind w:firstLine="708"/>
        <w:contextualSpacing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Sección 2. – Vigencia.</w:t>
      </w:r>
    </w:p>
    <w:p w14:paraId="596E7951" w14:textId="111618B6" w:rsidR="00FD3565" w:rsidRPr="009E13C4" w:rsidRDefault="009E13C4" w:rsidP="009E13C4">
      <w:pPr>
        <w:spacing w:before="240" w:after="120" w:line="480" w:lineRule="auto"/>
        <w:ind w:firstLine="708"/>
        <w:contextualSpacing/>
        <w:jc w:val="both"/>
        <w:rPr>
          <w:rFonts w:ascii="Book Antiqua" w:hAnsi="Book Antiqua"/>
          <w:lang w:val="es-PR"/>
        </w:rPr>
      </w:pPr>
      <w:r>
        <w:rPr>
          <w:rFonts w:ascii="Book Antiqua" w:hAnsi="Book Antiqua"/>
          <w:lang w:val="es-ES"/>
        </w:rPr>
        <w:t>Esta ley entrará en vigor inmediatamente después de su aprobación.</w:t>
      </w:r>
    </w:p>
    <w:sectPr w:rsidR="00FD3565" w:rsidRPr="009E13C4" w:rsidSect="009E13C4">
      <w:type w:val="continuous"/>
      <w:pgSz w:w="12240" w:h="15840" w:code="1"/>
      <w:pgMar w:top="1440" w:right="1440" w:bottom="1440" w:left="1440" w:header="720" w:footer="720" w:gutter="0"/>
      <w:lnNumType w:countBy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28C3" w14:textId="77777777" w:rsidR="00910CD8" w:rsidRDefault="00910CD8" w:rsidP="00D85F19">
      <w:r>
        <w:separator/>
      </w:r>
    </w:p>
  </w:endnote>
  <w:endnote w:type="continuationSeparator" w:id="0">
    <w:p w14:paraId="645B8E4A" w14:textId="77777777" w:rsidR="00910CD8" w:rsidRDefault="00910CD8" w:rsidP="00D8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D85F19" w14:paraId="1F4A067C" w14:textId="77777777">
      <w:trPr>
        <w:trHeight w:val="300"/>
      </w:trPr>
      <w:tc>
        <w:tcPr>
          <w:tcW w:w="3120" w:type="dxa"/>
        </w:tcPr>
        <w:p w14:paraId="6AE019F4" w14:textId="77777777" w:rsidR="00D85F19" w:rsidRDefault="00D85F19">
          <w:pPr>
            <w:pStyle w:val="Header"/>
            <w:ind w:left="-115"/>
          </w:pPr>
        </w:p>
      </w:tc>
      <w:tc>
        <w:tcPr>
          <w:tcW w:w="3120" w:type="dxa"/>
        </w:tcPr>
        <w:p w14:paraId="32508B05" w14:textId="77777777" w:rsidR="00D85F19" w:rsidRDefault="00D85F19">
          <w:pPr>
            <w:pStyle w:val="Header"/>
            <w:jc w:val="center"/>
          </w:pPr>
        </w:p>
      </w:tc>
      <w:tc>
        <w:tcPr>
          <w:tcW w:w="3120" w:type="dxa"/>
        </w:tcPr>
        <w:p w14:paraId="56F20F83" w14:textId="77777777" w:rsidR="00D85F19" w:rsidRDefault="00D85F19">
          <w:pPr>
            <w:pStyle w:val="Header"/>
            <w:ind w:right="-115"/>
            <w:jc w:val="right"/>
          </w:pPr>
        </w:p>
      </w:tc>
    </w:tr>
  </w:tbl>
  <w:p w14:paraId="75E77A1E" w14:textId="77777777" w:rsidR="00D85F19" w:rsidRDefault="00D85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D85F19" w14:paraId="56C7F54D" w14:textId="77777777">
      <w:trPr>
        <w:trHeight w:val="300"/>
      </w:trPr>
      <w:tc>
        <w:tcPr>
          <w:tcW w:w="3120" w:type="dxa"/>
        </w:tcPr>
        <w:p w14:paraId="2E8842FA" w14:textId="77777777" w:rsidR="00D85F19" w:rsidRDefault="00D85F19">
          <w:pPr>
            <w:pStyle w:val="Header"/>
            <w:ind w:left="-115"/>
          </w:pPr>
        </w:p>
      </w:tc>
      <w:tc>
        <w:tcPr>
          <w:tcW w:w="3120" w:type="dxa"/>
        </w:tcPr>
        <w:p w14:paraId="3C7E317C" w14:textId="77777777" w:rsidR="00D85F19" w:rsidRDefault="00D85F19">
          <w:pPr>
            <w:pStyle w:val="Header"/>
            <w:jc w:val="center"/>
          </w:pPr>
        </w:p>
      </w:tc>
      <w:tc>
        <w:tcPr>
          <w:tcW w:w="3120" w:type="dxa"/>
        </w:tcPr>
        <w:p w14:paraId="503D3285" w14:textId="77777777" w:rsidR="00D85F19" w:rsidRDefault="00D85F19">
          <w:pPr>
            <w:pStyle w:val="Header"/>
            <w:ind w:right="-115"/>
            <w:jc w:val="right"/>
          </w:pPr>
        </w:p>
      </w:tc>
    </w:tr>
  </w:tbl>
  <w:p w14:paraId="501A74C5" w14:textId="77777777" w:rsidR="00D85F19" w:rsidRDefault="00D85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A0FD" w14:textId="77777777" w:rsidR="00910CD8" w:rsidRDefault="00910CD8" w:rsidP="00D85F19">
      <w:r>
        <w:separator/>
      </w:r>
    </w:p>
  </w:footnote>
  <w:footnote w:type="continuationSeparator" w:id="0">
    <w:p w14:paraId="73C0B26A" w14:textId="77777777" w:rsidR="00910CD8" w:rsidRDefault="00910CD8" w:rsidP="00D8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DE2A" w14:textId="77777777" w:rsidR="00D85F19" w:rsidRDefault="00D85F19">
    <w:pPr>
      <w:pStyle w:val="Header"/>
      <w:jc w:val="center"/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t>20</w:t>
    </w:r>
    <w:r>
      <w:rPr>
        <w:rStyle w:val="PageNumber"/>
        <w:rFonts w:eastAsiaTheme="majorEastAsi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64FE" w14:textId="55356F7A" w:rsidR="00D85F19" w:rsidRDefault="00D85F19">
    <w:pPr>
      <w:pStyle w:val="Header"/>
      <w:jc w:val="right"/>
    </w:pPr>
    <w:r>
      <w:t>A-0</w:t>
    </w:r>
    <w:r w:rsidR="00625AE2">
      <w:t>9</w:t>
    </w:r>
    <w:r w:rsidR="00AB4C44">
      <w:t>8</w:t>
    </w:r>
  </w:p>
  <w:p w14:paraId="0F1205B2" w14:textId="77777777" w:rsidR="00D85F19" w:rsidRDefault="00D85F1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0DA"/>
    <w:multiLevelType w:val="hybridMultilevel"/>
    <w:tmpl w:val="53C2A0C2"/>
    <w:lvl w:ilvl="0" w:tplc="8BE44D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24451AD"/>
    <w:multiLevelType w:val="hybridMultilevel"/>
    <w:tmpl w:val="61241950"/>
    <w:lvl w:ilvl="0" w:tplc="6A98DCB4">
      <w:start w:val="1"/>
      <w:numFmt w:val="upperLetter"/>
      <w:lvlText w:val="(%1)"/>
      <w:lvlJc w:val="left"/>
      <w:pPr>
        <w:ind w:left="13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478421519">
    <w:abstractNumId w:val="0"/>
  </w:num>
  <w:num w:numId="2" w16cid:durableId="190382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19"/>
    <w:rsid w:val="00005479"/>
    <w:rsid w:val="0001293C"/>
    <w:rsid w:val="00015587"/>
    <w:rsid w:val="00022CA8"/>
    <w:rsid w:val="00076DAA"/>
    <w:rsid w:val="000817B7"/>
    <w:rsid w:val="00086791"/>
    <w:rsid w:val="000A6B90"/>
    <w:rsid w:val="000C003F"/>
    <w:rsid w:val="000C267F"/>
    <w:rsid w:val="00137221"/>
    <w:rsid w:val="001B2F8C"/>
    <w:rsid w:val="001C6C66"/>
    <w:rsid w:val="00217D2A"/>
    <w:rsid w:val="00246636"/>
    <w:rsid w:val="00266653"/>
    <w:rsid w:val="003176C9"/>
    <w:rsid w:val="0032453A"/>
    <w:rsid w:val="00324DF9"/>
    <w:rsid w:val="00370255"/>
    <w:rsid w:val="00391BD5"/>
    <w:rsid w:val="003B5AAD"/>
    <w:rsid w:val="003C3A6C"/>
    <w:rsid w:val="003E182D"/>
    <w:rsid w:val="0042489B"/>
    <w:rsid w:val="00461F53"/>
    <w:rsid w:val="00481960"/>
    <w:rsid w:val="004A08CD"/>
    <w:rsid w:val="004B743B"/>
    <w:rsid w:val="004C22B8"/>
    <w:rsid w:val="004C43B8"/>
    <w:rsid w:val="00536FCD"/>
    <w:rsid w:val="005A31F0"/>
    <w:rsid w:val="005A6C40"/>
    <w:rsid w:val="005C519E"/>
    <w:rsid w:val="005D5738"/>
    <w:rsid w:val="005E7AC1"/>
    <w:rsid w:val="005F33FC"/>
    <w:rsid w:val="00610943"/>
    <w:rsid w:val="00620F0C"/>
    <w:rsid w:val="00625AE2"/>
    <w:rsid w:val="00625B16"/>
    <w:rsid w:val="0064706B"/>
    <w:rsid w:val="0065765E"/>
    <w:rsid w:val="006A3BDF"/>
    <w:rsid w:val="006C617F"/>
    <w:rsid w:val="006D1ECD"/>
    <w:rsid w:val="006F0991"/>
    <w:rsid w:val="00751FAC"/>
    <w:rsid w:val="00810E51"/>
    <w:rsid w:val="00820F44"/>
    <w:rsid w:val="00844FF9"/>
    <w:rsid w:val="00874589"/>
    <w:rsid w:val="00877243"/>
    <w:rsid w:val="008849A0"/>
    <w:rsid w:val="00886F65"/>
    <w:rsid w:val="008C5399"/>
    <w:rsid w:val="008C5CDB"/>
    <w:rsid w:val="008D4099"/>
    <w:rsid w:val="00910CD8"/>
    <w:rsid w:val="00927E4A"/>
    <w:rsid w:val="00980B45"/>
    <w:rsid w:val="009E13C4"/>
    <w:rsid w:val="009E770A"/>
    <w:rsid w:val="00A405D5"/>
    <w:rsid w:val="00A934B3"/>
    <w:rsid w:val="00AB4C44"/>
    <w:rsid w:val="00AB72EC"/>
    <w:rsid w:val="00AE4F70"/>
    <w:rsid w:val="00B32881"/>
    <w:rsid w:val="00B469CF"/>
    <w:rsid w:val="00B604F2"/>
    <w:rsid w:val="00B65417"/>
    <w:rsid w:val="00B962E6"/>
    <w:rsid w:val="00C16375"/>
    <w:rsid w:val="00C723E5"/>
    <w:rsid w:val="00C92EFE"/>
    <w:rsid w:val="00CB6B2A"/>
    <w:rsid w:val="00CC2B79"/>
    <w:rsid w:val="00CF2F2D"/>
    <w:rsid w:val="00CF5FA4"/>
    <w:rsid w:val="00D02469"/>
    <w:rsid w:val="00D45CB3"/>
    <w:rsid w:val="00D85F19"/>
    <w:rsid w:val="00E05481"/>
    <w:rsid w:val="00E06B8D"/>
    <w:rsid w:val="00E70621"/>
    <w:rsid w:val="00E90E33"/>
    <w:rsid w:val="00ED5D74"/>
    <w:rsid w:val="00F06E43"/>
    <w:rsid w:val="00F45CBE"/>
    <w:rsid w:val="00F70417"/>
    <w:rsid w:val="00F90E48"/>
    <w:rsid w:val="00FD3565"/>
    <w:rsid w:val="00F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F475"/>
  <w15:chartTrackingRefBased/>
  <w15:docId w15:val="{DB2D788F-864F-41D0-8029-29C648A0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1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F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F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F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F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F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F1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D85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85F1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rsid w:val="00D85F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5F19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PageNumber">
    <w:name w:val="page number"/>
    <w:basedOn w:val="DefaultParagraphFont"/>
    <w:rsid w:val="00D85F19"/>
  </w:style>
  <w:style w:type="paragraph" w:customStyle="1" w:styleId="Title2">
    <w:name w:val="Title2"/>
    <w:basedOn w:val="Normal"/>
    <w:next w:val="Normal"/>
    <w:rsid w:val="00D85F19"/>
    <w:pPr>
      <w:tabs>
        <w:tab w:val="left" w:pos="648"/>
        <w:tab w:val="right" w:pos="7776"/>
        <w:tab w:val="left" w:pos="7848"/>
      </w:tabs>
    </w:pPr>
  </w:style>
  <w:style w:type="paragraph" w:styleId="BodyText">
    <w:name w:val="Body Text"/>
    <w:basedOn w:val="Normal"/>
    <w:link w:val="BodyTextChar"/>
    <w:rsid w:val="00D85F19"/>
    <w:pPr>
      <w:jc w:val="both"/>
    </w:pPr>
    <w:rPr>
      <w:szCs w:val="24"/>
      <w:lang w:val="es-PR"/>
    </w:rPr>
  </w:style>
  <w:style w:type="character" w:customStyle="1" w:styleId="BodyTextChar">
    <w:name w:val="Body Text Char"/>
    <w:basedOn w:val="DefaultParagraphFont"/>
    <w:link w:val="BodyText"/>
    <w:rsid w:val="00D85F19"/>
    <w:rPr>
      <w:rFonts w:ascii="Times New Roman" w:eastAsia="Times New Roman" w:hAnsi="Times New Roman" w:cs="Times New Roman"/>
      <w:kern w:val="0"/>
      <w:lang w:val="es-P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5F19"/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5F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5F19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D8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2204</Characters>
  <Application>Microsoft Office Word</Application>
  <DocSecurity>0</DocSecurity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Peña Payano</dc:creator>
  <cp:keywords/>
  <dc:description/>
  <cp:lastModifiedBy>Gladys J. Burgos Torres</cp:lastModifiedBy>
  <cp:revision>5</cp:revision>
  <cp:lastPrinted>2026-01-12T18:46:00Z</cp:lastPrinted>
  <dcterms:created xsi:type="dcterms:W3CDTF">2026-01-12T15:30:00Z</dcterms:created>
  <dcterms:modified xsi:type="dcterms:W3CDTF">2026-01-12T18:46:00Z</dcterms:modified>
</cp:coreProperties>
</file>